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3" w:type="dxa"/>
        <w:tblInd w:w="-147" w:type="dxa"/>
        <w:tblCellMar>
          <w:top w:w="14" w:type="dxa"/>
          <w:left w:w="108" w:type="dxa"/>
          <w:bottom w:w="34" w:type="dxa"/>
          <w:right w:w="56" w:type="dxa"/>
        </w:tblCellMar>
        <w:tblLook w:val="04A0" w:firstRow="1" w:lastRow="0" w:firstColumn="1" w:lastColumn="0" w:noHBand="0" w:noVBand="1"/>
      </w:tblPr>
      <w:tblGrid>
        <w:gridCol w:w="1965"/>
        <w:gridCol w:w="5631"/>
        <w:gridCol w:w="1532"/>
        <w:gridCol w:w="1335"/>
      </w:tblGrid>
      <w:tr w:rsidR="00076ECD" w:rsidTr="00A116F9">
        <w:trPr>
          <w:trHeight w:val="288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ECD" w:rsidRDefault="00B61A90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noProof/>
                <w:sz w:val="22"/>
              </w:rPr>
              <w:drawing>
                <wp:inline distT="0" distB="0" distL="0" distR="0" wp14:anchorId="1042121A">
                  <wp:extent cx="1026795" cy="104775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7" cy="108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45C3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269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A116F9" w:rsidRPr="00A116F9" w:rsidRDefault="00A116F9" w:rsidP="00A116F9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</w:pPr>
            <w:r w:rsidRPr="00A116F9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B</w:t>
            </w: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İLİMSEL ARAŞTIRMALAR PROJELERİ KOORDİNATÖRÜ</w:t>
            </w:r>
          </w:p>
          <w:p w:rsidR="00A116F9" w:rsidRDefault="00A116F9" w:rsidP="00A116F9">
            <w:pPr>
              <w:spacing w:after="0" w:line="259" w:lineRule="auto"/>
              <w:ind w:left="0" w:firstLine="0"/>
              <w:jc w:val="center"/>
              <w:rPr>
                <w:b/>
                <w:sz w:val="28"/>
              </w:rPr>
            </w:pPr>
            <w:r w:rsidRPr="00A116F9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GÖREV TANIMI</w:t>
            </w:r>
            <w:r w:rsidRPr="00A116F9">
              <w:rPr>
                <w:b/>
                <w:sz w:val="28"/>
              </w:rPr>
              <w:t xml:space="preserve">  </w:t>
            </w:r>
          </w:p>
          <w:p w:rsidR="00076ECD" w:rsidRDefault="00076EC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 w:rsidTr="00A116F9">
        <w:trPr>
          <w:trHeight w:val="286"/>
        </w:trPr>
        <w:tc>
          <w:tcPr>
            <w:tcW w:w="1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 w:rsidTr="00A116F9">
        <w:trPr>
          <w:trHeight w:val="286"/>
        </w:trPr>
        <w:tc>
          <w:tcPr>
            <w:tcW w:w="1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 w:rsidTr="00A116F9">
        <w:trPr>
          <w:trHeight w:val="286"/>
        </w:trPr>
        <w:tc>
          <w:tcPr>
            <w:tcW w:w="1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 w:rsidTr="00A116F9">
        <w:trPr>
          <w:trHeight w:val="298"/>
        </w:trPr>
        <w:tc>
          <w:tcPr>
            <w:tcW w:w="1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Sayfa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1/1 </w:t>
            </w:r>
          </w:p>
        </w:tc>
      </w:tr>
    </w:tbl>
    <w:p w:rsidR="00076ECD" w:rsidRDefault="000A45C3">
      <w:pPr>
        <w:spacing w:after="69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Normal"/>
        <w:tblW w:w="10490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799"/>
      </w:tblGrid>
      <w:tr w:rsidR="00A116F9" w:rsidRPr="00DF5A36" w:rsidTr="00A116F9">
        <w:trPr>
          <w:trHeight w:val="290"/>
        </w:trPr>
        <w:tc>
          <w:tcPr>
            <w:tcW w:w="3691" w:type="dxa"/>
            <w:shd w:val="clear" w:color="auto" w:fill="F1F1F1"/>
          </w:tcPr>
          <w:p w:rsidR="00A116F9" w:rsidRPr="00DF5A36" w:rsidRDefault="00A116F9" w:rsidP="00C765E3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Birimi</w:t>
            </w:r>
            <w:proofErr w:type="spellEnd"/>
          </w:p>
        </w:tc>
        <w:tc>
          <w:tcPr>
            <w:tcW w:w="6799" w:type="dxa"/>
          </w:tcPr>
          <w:p w:rsidR="00A116F9" w:rsidRPr="00DF5A36" w:rsidRDefault="00A116F9" w:rsidP="00C765E3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BAP</w:t>
            </w:r>
          </w:p>
        </w:tc>
      </w:tr>
      <w:tr w:rsidR="00A116F9" w:rsidRPr="00DF5A36" w:rsidTr="00A116F9">
        <w:trPr>
          <w:trHeight w:val="287"/>
        </w:trPr>
        <w:tc>
          <w:tcPr>
            <w:tcW w:w="3691" w:type="dxa"/>
            <w:shd w:val="clear" w:color="auto" w:fill="F1F1F1"/>
          </w:tcPr>
          <w:p w:rsidR="00A116F9" w:rsidRPr="00DF5A36" w:rsidRDefault="00A116F9" w:rsidP="00C765E3">
            <w:pPr>
              <w:spacing w:after="0" w:line="236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Unvanı</w:t>
            </w:r>
            <w:proofErr w:type="spellEnd"/>
          </w:p>
        </w:tc>
        <w:tc>
          <w:tcPr>
            <w:tcW w:w="6799" w:type="dxa"/>
          </w:tcPr>
          <w:p w:rsidR="00A116F9" w:rsidRPr="00DF5A36" w:rsidRDefault="00A116F9" w:rsidP="00C765E3">
            <w:pPr>
              <w:spacing w:after="0" w:line="236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Bilimsel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Araştırmaları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Projeleri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Koordinatörü</w:t>
            </w:r>
            <w:proofErr w:type="spellEnd"/>
          </w:p>
        </w:tc>
      </w:tr>
      <w:tr w:rsidR="00A116F9" w:rsidRPr="00DF5A36" w:rsidTr="00A116F9">
        <w:trPr>
          <w:trHeight w:val="289"/>
        </w:trPr>
        <w:tc>
          <w:tcPr>
            <w:tcW w:w="3691" w:type="dxa"/>
            <w:shd w:val="clear" w:color="auto" w:fill="F1F1F1"/>
          </w:tcPr>
          <w:p w:rsidR="00A116F9" w:rsidRPr="00DF5A36" w:rsidRDefault="00A116F9" w:rsidP="00C765E3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En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Yakın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Yönetici</w:t>
            </w:r>
            <w:proofErr w:type="spellEnd"/>
          </w:p>
        </w:tc>
        <w:tc>
          <w:tcPr>
            <w:tcW w:w="6799" w:type="dxa"/>
          </w:tcPr>
          <w:p w:rsidR="00A116F9" w:rsidRPr="00DF5A36" w:rsidRDefault="00A116F9" w:rsidP="00C765E3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Rektör</w:t>
            </w:r>
            <w:proofErr w:type="spellEnd"/>
          </w:p>
        </w:tc>
      </w:tr>
      <w:tr w:rsidR="00A116F9" w:rsidRPr="00DF5A36" w:rsidTr="00A116F9">
        <w:trPr>
          <w:trHeight w:val="289"/>
        </w:trPr>
        <w:tc>
          <w:tcPr>
            <w:tcW w:w="3691" w:type="dxa"/>
            <w:shd w:val="clear" w:color="auto" w:fill="F1F1F1"/>
          </w:tcPr>
          <w:p w:rsidR="00A116F9" w:rsidRPr="00DF5A36" w:rsidRDefault="00A116F9" w:rsidP="00C765E3">
            <w:pPr>
              <w:spacing w:after="0" w:line="239" w:lineRule="exact"/>
              <w:ind w:left="0" w:right="94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Yokluğunda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Vekâlet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Edecek</w:t>
            </w:r>
            <w:proofErr w:type="spellEnd"/>
          </w:p>
        </w:tc>
        <w:tc>
          <w:tcPr>
            <w:tcW w:w="6799" w:type="dxa"/>
          </w:tcPr>
          <w:p w:rsidR="00A116F9" w:rsidRPr="00DF5A36" w:rsidRDefault="00A116F9" w:rsidP="00C765E3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Görevlendirilen</w:t>
            </w:r>
            <w:proofErr w:type="spellEnd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Personel</w:t>
            </w:r>
            <w:proofErr w:type="spellEnd"/>
          </w:p>
        </w:tc>
      </w:tr>
    </w:tbl>
    <w:tbl>
      <w:tblPr>
        <w:tblStyle w:val="TableNormal1"/>
        <w:tblpPr w:leftFromText="141" w:rightFromText="141" w:vertAnchor="text" w:horzAnchor="margin" w:tblpX="-147" w:tblpY="187"/>
        <w:tblW w:w="104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116F9" w:rsidRPr="00A116F9" w:rsidTr="00A116F9">
        <w:trPr>
          <w:trHeight w:val="258"/>
        </w:trPr>
        <w:tc>
          <w:tcPr>
            <w:tcW w:w="10490" w:type="dxa"/>
            <w:shd w:val="clear" w:color="auto" w:fill="F1F1F1"/>
          </w:tcPr>
          <w:p w:rsidR="00A116F9" w:rsidRPr="00A116F9" w:rsidRDefault="00A116F9" w:rsidP="00A116F9">
            <w:pPr>
              <w:spacing w:after="0" w:line="239" w:lineRule="exact"/>
              <w:ind w:left="3275" w:right="3261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</w:rPr>
              <w:t>/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İşin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Kısa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Tanımı</w:t>
            </w:r>
            <w:proofErr w:type="spellEnd"/>
          </w:p>
        </w:tc>
      </w:tr>
      <w:tr w:rsidR="00A116F9" w:rsidRPr="00A116F9" w:rsidTr="00A116F9">
        <w:trPr>
          <w:trHeight w:val="1288"/>
        </w:trPr>
        <w:tc>
          <w:tcPr>
            <w:tcW w:w="10490" w:type="dxa"/>
          </w:tcPr>
          <w:p w:rsidR="00A116F9" w:rsidRPr="00A116F9" w:rsidRDefault="00A116F9" w:rsidP="00A116F9">
            <w:pPr>
              <w:spacing w:before="10" w:after="0" w:line="240" w:lineRule="auto"/>
              <w:ind w:left="152"/>
              <w:rPr>
                <w:rFonts w:ascii="Cambria" w:eastAsia="Caladea" w:hAnsi="Cambria" w:cs="Caladea"/>
                <w:b/>
                <w:color w:val="auto"/>
              </w:rPr>
            </w:pPr>
          </w:p>
          <w:p w:rsidR="00A116F9" w:rsidRPr="00A116F9" w:rsidRDefault="00A116F9" w:rsidP="003065EE">
            <w:pPr>
              <w:spacing w:after="0" w:line="240" w:lineRule="auto"/>
              <w:ind w:left="110" w:right="93"/>
              <w:jc w:val="both"/>
              <w:rPr>
                <w:rFonts w:ascii="Cambria" w:eastAsia="Caladea" w:hAnsi="Cambria" w:cs="Caladea"/>
                <w:color w:val="auto"/>
              </w:rPr>
            </w:pPr>
            <w:r w:rsidRPr="00A116F9">
              <w:rPr>
                <w:rFonts w:eastAsia="Caladea"/>
                <w:color w:val="auto"/>
              </w:rPr>
              <w:t xml:space="preserve">Kayseri </w:t>
            </w:r>
            <w:proofErr w:type="spellStart"/>
            <w:r w:rsidRPr="00A116F9">
              <w:rPr>
                <w:rFonts w:eastAsia="Caladea"/>
                <w:color w:val="auto"/>
              </w:rPr>
              <w:t>Üniversitesi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üst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yönetimi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tarafından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belirlenen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amaç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v</w:t>
            </w:r>
            <w:r w:rsidR="00D60025">
              <w:rPr>
                <w:rFonts w:eastAsia="Caladea"/>
                <w:color w:val="auto"/>
              </w:rPr>
              <w:t>e</w:t>
            </w:r>
            <w:proofErr w:type="spellEnd"/>
            <w:r w:rsidR="00D60025">
              <w:rPr>
                <w:rFonts w:eastAsia="Caladea"/>
                <w:color w:val="auto"/>
              </w:rPr>
              <w:t xml:space="preserve"> </w:t>
            </w:r>
            <w:proofErr w:type="spellStart"/>
            <w:r w:rsidR="00D60025">
              <w:rPr>
                <w:rFonts w:eastAsia="Caladea"/>
                <w:color w:val="auto"/>
              </w:rPr>
              <w:t>ilkelere</w:t>
            </w:r>
            <w:proofErr w:type="spellEnd"/>
            <w:r w:rsidR="00D60025">
              <w:rPr>
                <w:rFonts w:eastAsia="Caladea"/>
                <w:color w:val="auto"/>
              </w:rPr>
              <w:t xml:space="preserve"> </w:t>
            </w:r>
            <w:proofErr w:type="spellStart"/>
            <w:r w:rsidR="00D60025">
              <w:rPr>
                <w:rFonts w:eastAsia="Caladea"/>
                <w:color w:val="auto"/>
              </w:rPr>
              <w:t>uygun</w:t>
            </w:r>
            <w:proofErr w:type="spellEnd"/>
            <w:r w:rsidR="00D60025">
              <w:rPr>
                <w:rFonts w:eastAsia="Caladea"/>
                <w:color w:val="auto"/>
              </w:rPr>
              <w:t xml:space="preserve"> </w:t>
            </w:r>
            <w:proofErr w:type="spellStart"/>
            <w:r w:rsidR="00D60025">
              <w:rPr>
                <w:rFonts w:eastAsia="Caladea"/>
                <w:color w:val="auto"/>
              </w:rPr>
              <w:t>olarak</w:t>
            </w:r>
            <w:proofErr w:type="spellEnd"/>
            <w:r w:rsidR="00D60025">
              <w:rPr>
                <w:rFonts w:eastAsia="Caladea"/>
                <w:color w:val="auto"/>
              </w:rPr>
              <w:t xml:space="preserve">; </w:t>
            </w:r>
            <w:proofErr w:type="spellStart"/>
            <w:r w:rsidR="00D60025">
              <w:rPr>
                <w:rFonts w:eastAsia="Caladea"/>
                <w:color w:val="auto"/>
              </w:rPr>
              <w:t>birimi</w:t>
            </w:r>
            <w:r w:rsidR="003065EE">
              <w:rPr>
                <w:rFonts w:eastAsia="Caladea"/>
                <w:color w:val="auto"/>
              </w:rPr>
              <w:t>n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tüm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faaliyetleri</w:t>
            </w:r>
            <w:r w:rsidR="003065EE">
              <w:rPr>
                <w:rFonts w:eastAsia="Caladea"/>
                <w:color w:val="auto"/>
              </w:rPr>
              <w:t>ni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, </w:t>
            </w:r>
            <w:proofErr w:type="spellStart"/>
            <w:r w:rsidRPr="00A116F9">
              <w:rPr>
                <w:rFonts w:eastAsia="Caladea"/>
                <w:color w:val="auto"/>
              </w:rPr>
              <w:t>etkenlik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ve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verimlilik</w:t>
            </w:r>
            <w:proofErr w:type="spellEnd"/>
            <w:r w:rsidRPr="00A116F9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A116F9">
              <w:rPr>
                <w:rFonts w:eastAsia="Caladea"/>
                <w:color w:val="auto"/>
              </w:rPr>
              <w:t>ilke</w:t>
            </w:r>
            <w:r w:rsidR="004C360A">
              <w:rPr>
                <w:rFonts w:eastAsia="Caladea"/>
                <w:color w:val="auto"/>
              </w:rPr>
              <w:t>lerine</w:t>
            </w:r>
            <w:proofErr w:type="spellEnd"/>
            <w:r w:rsidR="004C360A">
              <w:rPr>
                <w:rFonts w:eastAsia="Caladea"/>
                <w:color w:val="auto"/>
              </w:rPr>
              <w:t xml:space="preserve"> </w:t>
            </w:r>
            <w:proofErr w:type="spellStart"/>
            <w:r w:rsidR="004C360A">
              <w:rPr>
                <w:rFonts w:eastAsia="Caladea"/>
                <w:color w:val="auto"/>
              </w:rPr>
              <w:t>uygun</w:t>
            </w:r>
            <w:proofErr w:type="spellEnd"/>
            <w:r w:rsidR="004C360A">
              <w:rPr>
                <w:rFonts w:eastAsia="Caladea"/>
                <w:color w:val="auto"/>
              </w:rPr>
              <w:t xml:space="preserve"> </w:t>
            </w:r>
            <w:proofErr w:type="spellStart"/>
            <w:r w:rsidR="004C360A">
              <w:rPr>
                <w:rFonts w:eastAsia="Caladea"/>
                <w:color w:val="auto"/>
              </w:rPr>
              <w:t>olarak</w:t>
            </w:r>
            <w:proofErr w:type="spellEnd"/>
            <w:r w:rsidR="004C360A">
              <w:rPr>
                <w:rFonts w:eastAsia="Caladea"/>
                <w:color w:val="auto"/>
              </w:rPr>
              <w:t xml:space="preserve"> </w:t>
            </w:r>
            <w:proofErr w:type="spellStart"/>
            <w:r w:rsidR="004C360A">
              <w:rPr>
                <w:rFonts w:eastAsia="Caladea"/>
                <w:color w:val="auto"/>
              </w:rPr>
              <w:t>yürütür</w:t>
            </w:r>
            <w:proofErr w:type="spellEnd"/>
            <w:r w:rsidR="004C360A">
              <w:rPr>
                <w:rFonts w:eastAsia="Caladea"/>
                <w:color w:val="auto"/>
              </w:rPr>
              <w:t>.</w:t>
            </w:r>
          </w:p>
        </w:tc>
      </w:tr>
    </w:tbl>
    <w:p w:rsidR="00076ECD" w:rsidRDefault="00076ECD" w:rsidP="00A116F9">
      <w:pPr>
        <w:spacing w:after="197" w:line="240" w:lineRule="atLeast"/>
        <w:ind w:left="221" w:firstLine="0"/>
        <w:jc w:val="center"/>
      </w:pPr>
    </w:p>
    <w:tbl>
      <w:tblPr>
        <w:tblStyle w:val="TableNormal2"/>
        <w:tblW w:w="10490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116F9" w:rsidRPr="00A116F9" w:rsidTr="00A116F9">
        <w:trPr>
          <w:trHeight w:val="146"/>
        </w:trPr>
        <w:tc>
          <w:tcPr>
            <w:tcW w:w="10490" w:type="dxa"/>
            <w:shd w:val="clear" w:color="auto" w:fill="F1F1F1"/>
          </w:tcPr>
          <w:p w:rsidR="00A116F9" w:rsidRPr="00A116F9" w:rsidRDefault="00A116F9" w:rsidP="00A116F9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,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>Yetki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>ve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  <w:sz w:val="22"/>
              </w:rPr>
              <w:t>Sorumluluklar</w:t>
            </w:r>
            <w:proofErr w:type="spellEnd"/>
          </w:p>
        </w:tc>
      </w:tr>
      <w:tr w:rsidR="00A116F9" w:rsidRPr="00A116F9" w:rsidTr="00A116F9">
        <w:trPr>
          <w:trHeight w:val="1511"/>
        </w:trPr>
        <w:tc>
          <w:tcPr>
            <w:tcW w:w="10490" w:type="dxa"/>
          </w:tcPr>
          <w:p w:rsidR="00A116F9" w:rsidRDefault="00A116F9" w:rsidP="00A116F9">
            <w:pPr>
              <w:numPr>
                <w:ilvl w:val="0"/>
                <w:numId w:val="1"/>
              </w:numPr>
              <w:ind w:hanging="348"/>
            </w:pPr>
            <w:r>
              <w:t xml:space="preserve">BAP Komisyonu Başkanı görevi başında bulunmadığı zamanlarda, Komisyon Başkanlığına vekâlet etmek,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ind w:hanging="348"/>
            </w:pPr>
            <w:r>
              <w:t>Projelerle ilgili duyuruları hazırlamak, yazışmaları yapmak,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ind w:hanging="348"/>
            </w:pPr>
            <w:r>
              <w:t xml:space="preserve">Komisyon toplantılarında raportörlük yapmak, 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ind w:hanging="348"/>
            </w:pPr>
            <w:r>
              <w:t xml:space="preserve">Komisyon toplantıları için gündemi hazırlamak, 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spacing w:after="271"/>
              <w:ind w:hanging="348"/>
            </w:pPr>
            <w:r>
              <w:t xml:space="preserve">BAP Koordinasyon Birimi ve Komisyon faaliyetlerinde iletişim ve koordinasyonu sağlamak,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spacing w:after="0"/>
              <w:ind w:hanging="348"/>
            </w:pPr>
            <w:r>
              <w:t xml:space="preserve">Rektör veya Rektörün konuyla ilgili görevlendirdiği Rektör Yardımcısına Komisyon ve </w:t>
            </w:r>
          </w:p>
          <w:p w:rsidR="00A116F9" w:rsidRDefault="00A116F9" w:rsidP="00A116F9">
            <w:pPr>
              <w:spacing w:after="273"/>
              <w:ind w:left="872"/>
            </w:pPr>
            <w:r>
              <w:t xml:space="preserve">BAP Koordinasyon Birimi çalışmaları hakkında dönemsel raporlar sunmak,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ind w:hanging="348"/>
            </w:pPr>
            <w:r>
              <w:t xml:space="preserve">Proje satın alma işlemleri ile ilgili olarak gerçekleştirme görevlisi atamak,  </w:t>
            </w:r>
          </w:p>
          <w:p w:rsidR="00A116F9" w:rsidRDefault="00A116F9" w:rsidP="00A116F9">
            <w:pPr>
              <w:numPr>
                <w:ilvl w:val="0"/>
                <w:numId w:val="1"/>
              </w:numPr>
              <w:spacing w:after="0"/>
              <w:ind w:hanging="348"/>
            </w:pPr>
            <w:r>
              <w:t xml:space="preserve">İlgili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projeler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YÖKSİS’e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aktarılmasını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kamuoyuna duyurulmak üzere Rektörlüğe rapor vermek. </w:t>
            </w:r>
          </w:p>
          <w:p w:rsidR="00A116F9" w:rsidRPr="00A116F9" w:rsidRDefault="00A116F9" w:rsidP="00A116F9">
            <w:pPr>
              <w:spacing w:after="134" w:line="240" w:lineRule="auto"/>
              <w:ind w:left="825" w:right="58" w:firstLine="0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tbl>
      <w:tblPr>
        <w:tblStyle w:val="TableNormal21"/>
        <w:tblpPr w:leftFromText="141" w:rightFromText="141" w:vertAnchor="text" w:horzAnchor="margin" w:tblpX="-147" w:tblpY="240"/>
        <w:tblW w:w="104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A116F9" w:rsidRPr="00A116F9" w:rsidTr="00A116F9">
        <w:trPr>
          <w:trHeight w:val="46"/>
        </w:trPr>
        <w:tc>
          <w:tcPr>
            <w:tcW w:w="104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A116F9" w:rsidRPr="00A116F9" w:rsidRDefault="00A116F9" w:rsidP="00A116F9">
            <w:pPr>
              <w:spacing w:after="0" w:line="239" w:lineRule="exact"/>
              <w:ind w:left="3275" w:right="3266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Getirdiği</w:t>
            </w:r>
            <w:proofErr w:type="spellEnd"/>
            <w:r w:rsidRPr="00A116F9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A116F9">
              <w:rPr>
                <w:rFonts w:ascii="Cambria" w:eastAsia="Caladea" w:hAnsi="Cambria" w:cs="Caladea"/>
                <w:b/>
                <w:color w:val="001F5F"/>
              </w:rPr>
              <w:t>Nitelikler</w:t>
            </w:r>
            <w:proofErr w:type="spellEnd"/>
          </w:p>
        </w:tc>
      </w:tr>
      <w:tr w:rsidR="00A116F9" w:rsidRPr="00A116F9" w:rsidTr="00A116F9">
        <w:trPr>
          <w:trHeight w:val="472"/>
        </w:trPr>
        <w:tc>
          <w:tcPr>
            <w:tcW w:w="104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16F9" w:rsidRDefault="00A116F9" w:rsidP="00A116F9">
            <w:pPr>
              <w:numPr>
                <w:ilvl w:val="0"/>
                <w:numId w:val="1"/>
              </w:numPr>
              <w:spacing w:after="0" w:line="357" w:lineRule="auto"/>
              <w:ind w:hanging="348"/>
            </w:pPr>
            <w:r>
              <w:t xml:space="preserve">657 sayılı Devlet Memurları Kanununda, 2547 sayılı YÖK Kanunda belirtilen niteliklere sahip olmak. </w:t>
            </w:r>
          </w:p>
          <w:p w:rsidR="00A116F9" w:rsidRPr="00A116F9" w:rsidRDefault="00A116F9" w:rsidP="00A116F9">
            <w:pPr>
              <w:spacing w:after="134" w:line="240" w:lineRule="auto"/>
              <w:ind w:left="825" w:right="58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A116F9" w:rsidRDefault="00A116F9" w:rsidP="00A116F9">
      <w:pPr>
        <w:spacing w:after="197" w:line="240" w:lineRule="atLeast"/>
        <w:ind w:left="221" w:firstLine="0"/>
        <w:jc w:val="center"/>
      </w:pPr>
    </w:p>
    <w:tbl>
      <w:tblPr>
        <w:tblStyle w:val="TabloKlavuzuAk1"/>
        <w:tblW w:w="10505" w:type="dxa"/>
        <w:tblInd w:w="-147" w:type="dxa"/>
        <w:tblLook w:val="04A0" w:firstRow="1" w:lastRow="0" w:firstColumn="1" w:lastColumn="0" w:noHBand="0" w:noVBand="1"/>
      </w:tblPr>
      <w:tblGrid>
        <w:gridCol w:w="5367"/>
        <w:gridCol w:w="5138"/>
      </w:tblGrid>
      <w:tr w:rsidR="00A116F9" w:rsidRPr="00A116F9" w:rsidTr="00C765E3">
        <w:trPr>
          <w:trHeight w:val="426"/>
        </w:trPr>
        <w:tc>
          <w:tcPr>
            <w:tcW w:w="5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16F9" w:rsidRPr="00A116F9" w:rsidRDefault="00A116F9" w:rsidP="00A116F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A116F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A116F9" w:rsidRPr="00A116F9" w:rsidRDefault="00A116F9" w:rsidP="00A116F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16F9" w:rsidRPr="00A116F9" w:rsidRDefault="00A116F9" w:rsidP="00A116F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A116F9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A116F9" w:rsidRPr="00A116F9" w:rsidRDefault="00A116F9" w:rsidP="00A116F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432495" w:rsidRDefault="00432495" w:rsidP="00A116F9">
      <w:pPr>
        <w:ind w:left="835" w:firstLine="0"/>
      </w:pPr>
    </w:p>
    <w:p w:rsidR="00076ECD" w:rsidRDefault="000A45C3" w:rsidP="00A116F9">
      <w:pPr>
        <w:spacing w:after="0" w:line="357" w:lineRule="auto"/>
        <w:ind w:left="835" w:firstLine="0"/>
      </w:pPr>
      <w:r>
        <w:t xml:space="preserve"> </w:t>
      </w:r>
      <w:bookmarkStart w:id="0" w:name="_GoBack"/>
      <w:bookmarkEnd w:id="0"/>
    </w:p>
    <w:sectPr w:rsidR="00076ECD">
      <w:pgSz w:w="11906" w:h="16838"/>
      <w:pgMar w:top="713" w:right="1133" w:bottom="1034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C1"/>
    <w:multiLevelType w:val="hybridMultilevel"/>
    <w:tmpl w:val="4E30FDCE"/>
    <w:lvl w:ilvl="0" w:tplc="8FE82A1E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3D3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616A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AB0DC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64AE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82A74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8CEC4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839A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B7AA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92414"/>
    <w:multiLevelType w:val="hybridMultilevel"/>
    <w:tmpl w:val="74102104"/>
    <w:lvl w:ilvl="0" w:tplc="130403CE">
      <w:start w:val="1"/>
      <w:numFmt w:val="bullet"/>
      <w:lvlText w:val="•"/>
      <w:lvlJc w:val="left"/>
      <w:pPr>
        <w:ind w:left="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C05924">
      <w:start w:val="1"/>
      <w:numFmt w:val="bullet"/>
      <w:lvlText w:val="o"/>
      <w:lvlJc w:val="left"/>
      <w:pPr>
        <w:ind w:left="15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B0EFC0">
      <w:start w:val="1"/>
      <w:numFmt w:val="bullet"/>
      <w:lvlText w:val="▪"/>
      <w:lvlJc w:val="left"/>
      <w:pPr>
        <w:ind w:left="23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2E81BE">
      <w:start w:val="1"/>
      <w:numFmt w:val="bullet"/>
      <w:lvlText w:val="•"/>
      <w:lvlJc w:val="left"/>
      <w:pPr>
        <w:ind w:left="3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CADDA6">
      <w:start w:val="1"/>
      <w:numFmt w:val="bullet"/>
      <w:lvlText w:val="o"/>
      <w:lvlJc w:val="left"/>
      <w:pPr>
        <w:ind w:left="37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DCC3B6">
      <w:start w:val="1"/>
      <w:numFmt w:val="bullet"/>
      <w:lvlText w:val="▪"/>
      <w:lvlJc w:val="left"/>
      <w:pPr>
        <w:ind w:left="44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CB568">
      <w:start w:val="1"/>
      <w:numFmt w:val="bullet"/>
      <w:lvlText w:val="•"/>
      <w:lvlJc w:val="left"/>
      <w:pPr>
        <w:ind w:left="5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76650A">
      <w:start w:val="1"/>
      <w:numFmt w:val="bullet"/>
      <w:lvlText w:val="o"/>
      <w:lvlJc w:val="left"/>
      <w:pPr>
        <w:ind w:left="59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CE6FE8">
      <w:start w:val="1"/>
      <w:numFmt w:val="bullet"/>
      <w:lvlText w:val="▪"/>
      <w:lvlJc w:val="left"/>
      <w:pPr>
        <w:ind w:left="66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64683F"/>
    <w:multiLevelType w:val="hybridMultilevel"/>
    <w:tmpl w:val="271CC61E"/>
    <w:lvl w:ilvl="0" w:tplc="F258B3D4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A7EA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2CBB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C9F1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FA8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806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E240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E5C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7D22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432BD"/>
    <w:multiLevelType w:val="hybridMultilevel"/>
    <w:tmpl w:val="5D82D57A"/>
    <w:lvl w:ilvl="0" w:tplc="38E03596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46F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2567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9C0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178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86D8A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A191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A23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ADA9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D"/>
    <w:rsid w:val="00076ECD"/>
    <w:rsid w:val="000A45C3"/>
    <w:rsid w:val="00196B26"/>
    <w:rsid w:val="003065EE"/>
    <w:rsid w:val="0032752C"/>
    <w:rsid w:val="00432495"/>
    <w:rsid w:val="004C360A"/>
    <w:rsid w:val="00832ADB"/>
    <w:rsid w:val="009130A7"/>
    <w:rsid w:val="00A116F9"/>
    <w:rsid w:val="00B61A90"/>
    <w:rsid w:val="00D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6BEE-EC5D-4D20-B79A-DBB5795E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8" w:line="271" w:lineRule="auto"/>
      <w:ind w:left="5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61A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16F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116F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16F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A116F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A116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dell</cp:lastModifiedBy>
  <cp:revision>11</cp:revision>
  <dcterms:created xsi:type="dcterms:W3CDTF">2021-04-15T11:31:00Z</dcterms:created>
  <dcterms:modified xsi:type="dcterms:W3CDTF">2021-06-29T10:13:00Z</dcterms:modified>
</cp:coreProperties>
</file>